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default" w:ascii="Times-Roman" w:hAnsi="Times-Roman" w:eastAsia="黑体" w:cs="Times-Roman"/>
          <w:sz w:val="32"/>
          <w:szCs w:val="32"/>
        </w:rPr>
      </w:pPr>
      <w:r>
        <w:rPr>
          <w:rFonts w:hint="default" w:ascii="Times-Roman" w:hAnsi="Times-Roman" w:eastAsia="黑体" w:cs="Times-Roman"/>
          <w:sz w:val="32"/>
          <w:szCs w:val="32"/>
        </w:rPr>
        <w:t>附件2</w:t>
      </w:r>
    </w:p>
    <w:p>
      <w:pPr>
        <w:spacing w:line="660" w:lineRule="exact"/>
        <w:jc w:val="left"/>
        <w:rPr>
          <w:rFonts w:hint="default" w:ascii="Times-Roman" w:hAnsi="Times-Roman" w:eastAsia="黑体" w:cs="Times-Roman"/>
          <w:sz w:val="32"/>
          <w:szCs w:val="32"/>
        </w:rPr>
      </w:pPr>
    </w:p>
    <w:p>
      <w:pPr>
        <w:spacing w:line="660" w:lineRule="exact"/>
        <w:jc w:val="center"/>
        <w:rPr>
          <w:rFonts w:hint="default" w:ascii="Times-Roman" w:hAnsi="Times-Roman" w:eastAsia="小标宋" w:cs="Times-Roman"/>
          <w:sz w:val="44"/>
          <w:szCs w:val="44"/>
        </w:rPr>
      </w:pPr>
      <w:r>
        <w:rPr>
          <w:rFonts w:hint="default" w:ascii="Times-Roman" w:hAnsi="Times-Roman" w:eastAsia="小标宋" w:cs="Times-Roman"/>
          <w:sz w:val="44"/>
          <w:szCs w:val="44"/>
        </w:rPr>
        <w:t>吉林省研究生科技论文演讲比赛规则</w:t>
      </w:r>
    </w:p>
    <w:p>
      <w:pPr>
        <w:ind w:firstLine="660" w:firstLineChars="200"/>
        <w:rPr>
          <w:rFonts w:hint="default" w:ascii="Times-Roman" w:hAnsi="Times-Roman" w:eastAsia="黑体" w:cs="Times-Roman"/>
          <w:sz w:val="33"/>
          <w:szCs w:val="33"/>
        </w:rPr>
      </w:pPr>
    </w:p>
    <w:p>
      <w:pPr>
        <w:ind w:firstLine="660" w:firstLineChars="20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为促进吉林省跨校、跨院系高层次研究生之间的交流与研讨、不同学术背景观点的相互碰撞与融合，激发创新激情、拓宽创新视野、提高创新能力，营造敢于探索、勇于创新的学术思想表达平台，吉林省科学技术协会（以下简称吉林省科协）组织开展吉林省研究生科技论文演讲比赛（以下简称比赛）。为保证比赛有规可循，公平、公正、公开进行，特制定本规则。</w:t>
      </w:r>
    </w:p>
    <w:p>
      <w:pPr>
        <w:ind w:firstLine="660"/>
        <w:rPr>
          <w:rFonts w:hint="default" w:ascii="Times-Roman" w:hAnsi="Times-Roman" w:eastAsia="黑体" w:cs="Times-Roman"/>
          <w:sz w:val="33"/>
          <w:szCs w:val="33"/>
        </w:rPr>
      </w:pPr>
      <w:r>
        <w:rPr>
          <w:rFonts w:hint="default" w:ascii="Times-Roman" w:hAnsi="Times-Roman" w:eastAsia="黑体" w:cs="Times-Roman"/>
          <w:sz w:val="33"/>
          <w:szCs w:val="33"/>
        </w:rPr>
        <w:t>一、申报及推荐</w:t>
      </w:r>
    </w:p>
    <w:p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（一）吉林省科协所属省级学会和有研究生培养资格的省内各大专院校、科研院所具有推荐资格（以下称推荐单位）；省内各大专院校、科研院所在读硕士、博士研究生具有参赛资格（以下称参赛者）。</w:t>
      </w:r>
    </w:p>
    <w:p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（二）每个推荐单位最多可推荐</w:t>
      </w:r>
      <w:r>
        <w:rPr>
          <w:rFonts w:hint="eastAsia" w:ascii="Times-Roman" w:hAnsi="Times-Roman" w:eastAsia="仿宋_GB2312" w:cs="Times-Roman"/>
          <w:sz w:val="33"/>
          <w:szCs w:val="33"/>
          <w:lang w:val="en-US" w:eastAsia="zh-CN"/>
        </w:rPr>
        <w:t>15</w:t>
      </w:r>
      <w:r>
        <w:rPr>
          <w:rFonts w:hint="default" w:ascii="Times-Roman" w:hAnsi="Times-Roman" w:eastAsia="仿宋_GB2312" w:cs="Times-Roman"/>
          <w:sz w:val="33"/>
          <w:szCs w:val="33"/>
        </w:rPr>
        <w:t>人。不允许跨学科、跨单位推荐。</w:t>
      </w:r>
    </w:p>
    <w:p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（三）参赛者需完整填写《吉林省研究生科技论文演讲比赛参赛表》，并按要求提交报名材料电子版和参赛视频。</w:t>
      </w:r>
    </w:p>
    <w:p>
      <w:pPr>
        <w:ind w:firstLine="660"/>
        <w:rPr>
          <w:rFonts w:hint="default" w:ascii="Times-Roman" w:hAnsi="Times-Roman" w:eastAsia="黑体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（四）已获得过本比赛往届一、二、三等奖的选手，不可针对已获奖或相似演讲内容再次参赛。</w:t>
      </w:r>
    </w:p>
    <w:p>
      <w:pPr>
        <w:ind w:firstLine="645"/>
        <w:rPr>
          <w:rFonts w:hint="default" w:ascii="Times-Roman" w:hAnsi="Times-Roman" w:eastAsia="黑体" w:cs="Times-Roman"/>
          <w:sz w:val="33"/>
          <w:szCs w:val="33"/>
        </w:rPr>
      </w:pPr>
      <w:r>
        <w:rPr>
          <w:rFonts w:hint="default" w:ascii="Times-Roman" w:hAnsi="Times-Roman" w:eastAsia="黑体" w:cs="Times-Roman"/>
          <w:sz w:val="33"/>
          <w:szCs w:val="33"/>
        </w:rPr>
        <w:t>二、比赛形式</w:t>
      </w:r>
    </w:p>
    <w:p>
      <w:pPr>
        <w:ind w:firstLine="645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比赛采取提纲式演讲形式，参赛者以本人的一篇或多篇学术论文为基础，分享其对研究的体会、对成果的诠释，展示其学术表达能力。</w:t>
      </w:r>
    </w:p>
    <w:p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比赛分为预赛、决赛两个阶段：</w:t>
      </w:r>
    </w:p>
    <w:p>
      <w:pPr>
        <w:numPr>
          <w:ilvl w:val="0"/>
          <w:numId w:val="1"/>
        </w:num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预赛：设置理、工、农、医4个分赛场。比赛采取提交演讲视频的形式，参赛者不需到比赛现场。参赛者需以本人提供的论文为基础、PPT为提纲脉络、操作PPT进行演讲录制。每人演讲时间不超过8分钟。</w:t>
      </w:r>
    </w:p>
    <w:p>
      <w:pPr>
        <w:numPr>
          <w:ilvl w:val="0"/>
          <w:numId w:val="1"/>
        </w:num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决赛。参赛者到比赛现场抽签确定出场顺序，每人演讲8分钟；成绩和排名由评委打分确定，当场公布，按分数高低产生一、二、三等奖。</w:t>
      </w:r>
    </w:p>
    <w:p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比赛时，参赛者不能携带草稿、论文、报告、书籍、手机等进行宣读或辅助演讲。参赛者在决赛中所需电脑、投影仪、翻页笔等设备由主办单位统一提供。</w:t>
      </w:r>
    </w:p>
    <w:p>
      <w:pPr>
        <w:ind w:firstLine="660"/>
        <w:rPr>
          <w:rFonts w:hint="default" w:ascii="Times-Roman" w:hAnsi="Times-Roman" w:eastAsia="黑体" w:cs="Times-Roman"/>
          <w:sz w:val="33"/>
          <w:szCs w:val="33"/>
        </w:rPr>
      </w:pPr>
      <w:r>
        <w:rPr>
          <w:rFonts w:hint="default" w:ascii="Times-Roman" w:hAnsi="Times-Roman" w:eastAsia="黑体" w:cs="Times-Roman"/>
          <w:sz w:val="33"/>
          <w:szCs w:val="33"/>
        </w:rPr>
        <w:t>三、评分标准</w:t>
      </w:r>
    </w:p>
    <w:p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（一）满分100分，评分依据如下：</w:t>
      </w:r>
    </w:p>
    <w:p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1. 演讲技巧与效果（50分）：富有逻辑、自然流畅、通俗易懂、使用科学术语、语音规范、有感染力；</w:t>
      </w:r>
    </w:p>
    <w:p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2. 演讲内容（30分）：具有创新性、科普性、学术性；</w:t>
      </w:r>
    </w:p>
    <w:p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3. PPT制作（10分）：层次清晰、内容简明、美观实用；</w:t>
      </w:r>
    </w:p>
    <w:p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4. 形象风采（10分）：着装得体、肢体语言运用得当；</w:t>
      </w:r>
    </w:p>
    <w:p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5. 大量照读PPT文字、演讲超时等情况扣除相应分数。</w:t>
      </w:r>
    </w:p>
    <w:p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（二）加试。如出现参赛者分数相同且影响奖项评定的情况，评委针对同分参赛者的演讲内容进行提问加试。提问不超过3个，分值不超过5分，直至产生既定名次及奖项。加分后，参赛者获得的总成绩不影响已经产生的其他参赛者排名。</w:t>
      </w:r>
    </w:p>
    <w:p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（三）成绩及公布。参赛者成绩及排名由评委打分确定。</w:t>
      </w:r>
      <w:r>
        <w:rPr>
          <w:rFonts w:hint="eastAsia" w:ascii="Times-Roman" w:hAnsi="Times-Roman" w:eastAsia="仿宋_GB2312" w:cs="Times-Roman"/>
          <w:sz w:val="33"/>
          <w:szCs w:val="33"/>
          <w:lang w:eastAsia="zh-CN"/>
        </w:rPr>
        <w:t>晋级决赛名单</w:t>
      </w:r>
      <w:r>
        <w:rPr>
          <w:rFonts w:hint="default" w:ascii="Times-Roman" w:hAnsi="Times-Roman" w:eastAsia="仿宋_GB2312" w:cs="Times-Roman"/>
          <w:sz w:val="33"/>
          <w:szCs w:val="33"/>
        </w:rPr>
        <w:t>在吉林省科协云服务平台（www.jlskx.org.cn）公布，决赛选手成绩现场逐一公布。</w:t>
      </w:r>
    </w:p>
    <w:p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黑体" w:cs="Times-Roman"/>
          <w:sz w:val="33"/>
          <w:szCs w:val="33"/>
        </w:rPr>
        <w:t>四、参赛者须知</w:t>
      </w:r>
    </w:p>
    <w:p>
      <w:pPr>
        <w:ind w:firstLine="660" w:firstLineChars="20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参赛者须遵守主、承办单位的规定，按时参加比赛，迟到或做出影响比赛行为者视为弃权。</w:t>
      </w:r>
    </w:p>
    <w:p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比赛开始前，参赛者可弃权或退出比赛，但需以书面形式通过推荐单位提前告知主办单位。决赛参赛者名单公布前，参赛者弃权的，可按预赛排名递补参赛者进入决赛。</w:t>
      </w:r>
    </w:p>
    <w:p>
      <w:pPr>
        <w:ind w:firstLine="660"/>
        <w:rPr>
          <w:rFonts w:hint="default" w:ascii="Times-Roman" w:hAnsi="Times-Roman" w:eastAsia="黑体" w:cs="Times-Roman"/>
          <w:sz w:val="33"/>
          <w:szCs w:val="33"/>
        </w:rPr>
      </w:pPr>
      <w:r>
        <w:rPr>
          <w:rFonts w:hint="default" w:ascii="Times-Roman" w:hAnsi="Times-Roman" w:eastAsia="黑体" w:cs="Times-Roman"/>
          <w:sz w:val="33"/>
          <w:szCs w:val="33"/>
        </w:rPr>
        <w:t>五、演讲依据论文要求</w:t>
      </w:r>
    </w:p>
    <w:p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自然科学、工程技术科学、交叉边缘学科方面的学术论文，</w:t>
      </w:r>
      <w:r>
        <w:rPr>
          <w:rFonts w:hint="eastAsia" w:ascii="Times-Roman" w:hAnsi="Times-Roman" w:eastAsia="仿宋_GB2312" w:cs="Times-Roman"/>
          <w:sz w:val="33"/>
          <w:szCs w:val="33"/>
          <w:lang w:eastAsia="zh-CN"/>
        </w:rPr>
        <w:t>不限是否</w:t>
      </w:r>
      <w:r>
        <w:rPr>
          <w:rFonts w:hint="default" w:ascii="Times-Roman" w:hAnsi="Times-Roman" w:eastAsia="仿宋_GB2312" w:cs="Times-Roman"/>
          <w:sz w:val="33"/>
          <w:szCs w:val="33"/>
        </w:rPr>
        <w:t>公开发表。凡在知识产权、署名权等方面有争议的，在争议未解决前不得作为演讲依据论文使用；涉及违背有关保密规定、有关法规和产业政策的论文不得作为演讲依据论文使用。</w:t>
      </w:r>
    </w:p>
    <w:p>
      <w:pPr>
        <w:ind w:firstLine="660"/>
        <w:rPr>
          <w:rFonts w:hint="default" w:ascii="Times-Roman" w:hAnsi="Times-Roman" w:eastAsia="黑体" w:cs="Times-Roman"/>
          <w:sz w:val="33"/>
          <w:szCs w:val="33"/>
        </w:rPr>
      </w:pPr>
      <w:r>
        <w:rPr>
          <w:rFonts w:hint="default" w:ascii="Times-Roman" w:hAnsi="Times-Roman" w:eastAsia="黑体" w:cs="Times-Roman"/>
          <w:sz w:val="33"/>
          <w:szCs w:val="33"/>
        </w:rPr>
        <w:t>六、评委及评委会</w:t>
      </w:r>
    </w:p>
    <w:p>
      <w:pPr>
        <w:ind w:firstLine="660" w:firstLineChars="20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（一）成立吉林省研究生科技论文演讲比赛评委会（以下简称评委会），评委会成员由省内理、工、农、医、交叉边缘等学科知名专家、学者和有关部门的负责人组成。评委会设主任委员1人，副主任委员、委员若干。评委会主要职责是：为参赛者评分；为完善比赛提供政策性意见和建议；研究、解决比赛工作的其它重大事项。</w:t>
      </w:r>
    </w:p>
    <w:p>
      <w:pPr>
        <w:ind w:firstLine="660" w:firstLineChars="20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（二）评委会办公室设在吉林省科协学会学术部，人员由吉林省科协相关部门同志组成，负责比赛相关工作。</w:t>
      </w:r>
    </w:p>
    <w:p>
      <w:pPr>
        <w:ind w:firstLine="660" w:firstLineChars="200"/>
        <w:rPr>
          <w:rFonts w:hint="default" w:ascii="Times-Roman" w:hAnsi="Times-Roman" w:eastAsia="黑体" w:cs="Times-Roman"/>
          <w:sz w:val="33"/>
          <w:szCs w:val="33"/>
        </w:rPr>
      </w:pPr>
      <w:r>
        <w:rPr>
          <w:rFonts w:hint="default" w:ascii="Times-Roman" w:hAnsi="Times-Roman" w:eastAsia="黑体" w:cs="Times-Roman"/>
          <w:sz w:val="33"/>
          <w:szCs w:val="33"/>
        </w:rPr>
        <w:t>七、奖项</w:t>
      </w:r>
    </w:p>
    <w:p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一等奖3人，颁发证书并资助每人3000元额度国内学术活动交流费；二等奖6人，颁发证书并资助每人2000元额度国内学术活动交流费；三等奖9人，颁发证书并资助每人1000元额度国内学术活动交流费。</w:t>
      </w:r>
    </w:p>
    <w:p>
      <w:pPr>
        <w:ind w:firstLine="660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各承办单位可设置优秀奖，获奖人数不超过参赛人数的30%。</w:t>
      </w:r>
    </w:p>
    <w:p>
      <w:pPr>
        <w:ind w:firstLine="660" w:firstLineChars="200"/>
        <w:rPr>
          <w:rFonts w:hint="default" w:ascii="Times-Roman" w:hAnsi="Times-Roman" w:eastAsia="黑体" w:cs="Times-Roman"/>
          <w:sz w:val="33"/>
          <w:szCs w:val="33"/>
        </w:rPr>
      </w:pPr>
      <w:r>
        <w:rPr>
          <w:rFonts w:hint="default" w:ascii="Times-Roman" w:hAnsi="Times-Roman" w:eastAsia="黑体" w:cs="Times-Roman"/>
          <w:sz w:val="33"/>
          <w:szCs w:val="33"/>
        </w:rPr>
        <w:t>八、异议及处理</w:t>
      </w:r>
    </w:p>
    <w:p>
      <w:pPr>
        <w:ind w:firstLine="660" w:firstLineChars="200"/>
      </w:pPr>
      <w:r>
        <w:rPr>
          <w:rFonts w:hint="default" w:ascii="Times-Roman" w:hAnsi="Times-Roman" w:eastAsia="仿宋_GB2312" w:cs="Times-Roman"/>
          <w:sz w:val="33"/>
          <w:szCs w:val="33"/>
        </w:rPr>
        <w:t>比赛接受社会监督，任何推荐单位、参赛者对比赛及相关活动持有异议，可在比赛结果公示期间向评委会办公室提出。评委会办公室将异议核实情况及处理意见向评委会报告，由评委会最后裁定。本《规则》解释权属吉林省科学技术协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6E3174"/>
    <w:multiLevelType w:val="singleLevel"/>
    <w:tmpl w:val="9D6E317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GFkZGY5NTRlZDA2M2JhMTliMjAyMjU3ZmJkZGEifQ=="/>
  </w:docVars>
  <w:rsids>
    <w:rsidRoot w:val="3B806A18"/>
    <w:rsid w:val="3B80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2023-10-31T02:06:00Z</dcterms:created>
  <dc:creator>54344</dc:creator>
  <cp:lastModifiedBy>54344</cp:lastModifiedBy>
  <dcterms:modified xsi:type="dcterms:W3CDTF">2023-10-31T02:06:49Z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137D44F99CF7404FBCB7BD9A8FA3D7A5_11</vt:lpwstr>
  </property>
</Properties>
</file>